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D14" w:rsidRDefault="00EB7D14" w:rsidP="009D547B">
      <w:pPr>
        <w:pStyle w:val="Heading2"/>
      </w:pPr>
      <w:bookmarkStart w:id="0" w:name="_Toc238450781"/>
      <w:bookmarkStart w:id="1" w:name="_Toc302994687"/>
      <w:bookmarkStart w:id="2" w:name="_Toc305484602"/>
      <w:r>
        <w:t>Assessment instrument template: written questions</w:t>
      </w:r>
      <w:bookmarkEnd w:id="0"/>
      <w:bookmarkEnd w:id="1"/>
      <w:bookmarkEnd w:id="2"/>
    </w:p>
    <w:p w:rsidR="00EB7D14" w:rsidRPr="004E6269" w:rsidRDefault="00EB7D14" w:rsidP="009D547B">
      <w:pPr>
        <w:pStyle w:val="TableText"/>
        <w:rPr>
          <w:b/>
          <w:sz w:val="28"/>
        </w:rPr>
      </w:pPr>
      <w:r w:rsidRPr="004E6269">
        <w:rPr>
          <w:b/>
          <w:sz w:val="28"/>
        </w:rPr>
        <w:t>Written test—</w:t>
      </w:r>
      <w:r w:rsidRPr="004E6269">
        <w:rPr>
          <w:b/>
          <w:sz w:val="28"/>
        </w:rPr>
        <w:br/>
      </w:r>
      <w:r w:rsidRPr="00F36004">
        <w:rPr>
          <w:b/>
          <w:sz w:val="28"/>
        </w:rPr>
        <w:t>FNSFLT204A Develop understanding of superannuation</w:t>
      </w:r>
    </w:p>
    <w:p w:rsidR="00EB7D14" w:rsidRPr="002E619D" w:rsidRDefault="00EB7D14" w:rsidP="009D547B">
      <w:pPr>
        <w:pStyle w:val="TableText"/>
        <w:spacing w:before="80" w:after="80" w:line="240" w:lineRule="auto"/>
        <w:rPr>
          <w:szCs w:val="22"/>
        </w:rPr>
      </w:pPr>
    </w:p>
    <w:p w:rsidR="00EB7D14" w:rsidRPr="002E619D" w:rsidRDefault="00EB7D14" w:rsidP="009D547B">
      <w:pPr>
        <w:pStyle w:val="TableText"/>
        <w:tabs>
          <w:tab w:val="right" w:pos="8504"/>
        </w:tabs>
        <w:spacing w:before="80" w:after="80" w:line="240" w:lineRule="auto"/>
        <w:rPr>
          <w:szCs w:val="22"/>
        </w:rPr>
      </w:pPr>
      <w:r w:rsidRPr="002E619D">
        <w:rPr>
          <w:szCs w:val="22"/>
        </w:rPr>
        <w:t>Candidate name: ______________________</w:t>
      </w:r>
      <w:r>
        <w:rPr>
          <w:szCs w:val="22"/>
        </w:rPr>
        <w:t>_____</w:t>
      </w:r>
      <w:r w:rsidRPr="002E619D">
        <w:rPr>
          <w:szCs w:val="22"/>
        </w:rPr>
        <w:t>__</w:t>
      </w:r>
      <w:r w:rsidRPr="002E619D">
        <w:rPr>
          <w:szCs w:val="22"/>
        </w:rPr>
        <w:tab/>
        <w:t>date: ________________</w:t>
      </w:r>
    </w:p>
    <w:p w:rsidR="00EB7D14" w:rsidRDefault="00EB7D14" w:rsidP="009D547B">
      <w:pPr>
        <w:pStyle w:val="TableText"/>
        <w:spacing w:before="80" w:after="80" w:line="240" w:lineRule="auto"/>
        <w:rPr>
          <w:b/>
          <w:szCs w:val="22"/>
        </w:rPr>
      </w:pPr>
    </w:p>
    <w:p w:rsidR="00EB7D14" w:rsidRPr="002E619D" w:rsidRDefault="00EB7D14" w:rsidP="009D547B">
      <w:pPr>
        <w:pStyle w:val="TableText"/>
        <w:spacing w:before="80" w:after="80" w:line="240" w:lineRule="auto"/>
        <w:rPr>
          <w:b/>
          <w:szCs w:val="22"/>
        </w:rPr>
      </w:pPr>
      <w:r w:rsidRPr="002E619D">
        <w:rPr>
          <w:b/>
          <w:szCs w:val="22"/>
        </w:rPr>
        <w:t>Instructions and requirements</w:t>
      </w:r>
    </w:p>
    <w:p w:rsidR="00EB7D14" w:rsidRDefault="00EB7D14" w:rsidP="009D547B">
      <w:pPr>
        <w:pStyle w:val="Tabletexthangingindent"/>
        <w:spacing w:before="80" w:after="80"/>
      </w:pPr>
      <w:r>
        <w:t>This is an open book test</w:t>
      </w:r>
    </w:p>
    <w:p w:rsidR="00EB7D14" w:rsidRPr="00B722B2" w:rsidRDefault="00EB7D14" w:rsidP="009D547B">
      <w:pPr>
        <w:pStyle w:val="Tabletexthangingindent"/>
        <w:spacing w:before="80" w:after="80"/>
      </w:pPr>
      <w:r>
        <w:t xml:space="preserve">The pass score is </w:t>
      </w:r>
      <w:r w:rsidR="007400B2">
        <w:t>90%</w:t>
      </w:r>
      <w:bookmarkStart w:id="3" w:name="_GoBack"/>
      <w:bookmarkEnd w:id="3"/>
      <w:r>
        <w:br/>
      </w:r>
    </w:p>
    <w:p w:rsidR="00C857BB" w:rsidRPr="002E619D" w:rsidRDefault="00C857BB" w:rsidP="00C857BB">
      <w:pPr>
        <w:pStyle w:val="TableText"/>
        <w:spacing w:before="80" w:after="80" w:line="240" w:lineRule="auto"/>
        <w:rPr>
          <w:b/>
          <w:szCs w:val="22"/>
        </w:rPr>
      </w:pPr>
      <w:r w:rsidRPr="002E619D">
        <w:rPr>
          <w:b/>
          <w:szCs w:val="22"/>
        </w:rPr>
        <w:t>Part A:  True/False</w:t>
      </w:r>
    </w:p>
    <w:p w:rsidR="00C857BB" w:rsidRPr="002E619D" w:rsidRDefault="00C857BB" w:rsidP="00C857BB">
      <w:pPr>
        <w:pStyle w:val="TableText"/>
        <w:spacing w:before="80" w:after="80" w:line="240" w:lineRule="auto"/>
        <w:rPr>
          <w:i/>
          <w:szCs w:val="22"/>
        </w:rPr>
      </w:pPr>
      <w:r w:rsidRPr="002E619D">
        <w:rPr>
          <w:b/>
          <w:i/>
          <w:szCs w:val="22"/>
        </w:rPr>
        <w:t>Instructions:</w:t>
      </w:r>
      <w:r w:rsidRPr="002E619D">
        <w:rPr>
          <w:i/>
          <w:szCs w:val="22"/>
        </w:rPr>
        <w:t xml:space="preserve">  Circle the true o</w:t>
      </w:r>
      <w:r>
        <w:rPr>
          <w:i/>
          <w:szCs w:val="22"/>
        </w:rPr>
        <w:t>r false beside each statement (2</w:t>
      </w:r>
      <w:r w:rsidRPr="002E619D">
        <w:rPr>
          <w:i/>
          <w:szCs w:val="22"/>
        </w:rPr>
        <w:t xml:space="preserve"> point each)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24"/>
        <w:gridCol w:w="6617"/>
        <w:gridCol w:w="702"/>
        <w:gridCol w:w="671"/>
      </w:tblGrid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1.</w:t>
            </w:r>
          </w:p>
        </w:tc>
        <w:tc>
          <w:tcPr>
            <w:tcW w:w="661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In relation to the superannuation life cycle, people under the age of 30 years are expected to be invested in high risk investments</w:t>
            </w:r>
          </w:p>
        </w:tc>
        <w:tc>
          <w:tcPr>
            <w:tcW w:w="702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true</w:t>
            </w:r>
          </w:p>
        </w:tc>
        <w:tc>
          <w:tcPr>
            <w:tcW w:w="671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false</w:t>
            </w:r>
          </w:p>
        </w:tc>
      </w:tr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2.</w:t>
            </w:r>
          </w:p>
        </w:tc>
        <w:tc>
          <w:tcPr>
            <w:tcW w:w="661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Listed property investments are medium risk.</w:t>
            </w:r>
          </w:p>
        </w:tc>
        <w:tc>
          <w:tcPr>
            <w:tcW w:w="702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true</w:t>
            </w:r>
          </w:p>
        </w:tc>
        <w:tc>
          <w:tcPr>
            <w:tcW w:w="671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false</w:t>
            </w:r>
          </w:p>
        </w:tc>
      </w:tr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3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661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 xml:space="preserve">International shares as </w:t>
            </w:r>
            <w:proofErr w:type="spellStart"/>
            <w:r>
              <w:rPr>
                <w:szCs w:val="22"/>
              </w:rPr>
              <w:t>a</w:t>
            </w:r>
            <w:proofErr w:type="spellEnd"/>
            <w:r>
              <w:rPr>
                <w:szCs w:val="22"/>
              </w:rPr>
              <w:t xml:space="preserve"> investment type is considered high risk</w:t>
            </w:r>
          </w:p>
        </w:tc>
        <w:tc>
          <w:tcPr>
            <w:tcW w:w="702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true</w:t>
            </w:r>
          </w:p>
        </w:tc>
        <w:tc>
          <w:tcPr>
            <w:tcW w:w="671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false</w:t>
            </w:r>
          </w:p>
        </w:tc>
      </w:tr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4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661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In relation to the superannuation life cycle, people over the age of 50 years are expected to be invested in conservative investments.</w:t>
            </w:r>
          </w:p>
        </w:tc>
        <w:tc>
          <w:tcPr>
            <w:tcW w:w="702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true</w:t>
            </w:r>
          </w:p>
        </w:tc>
        <w:tc>
          <w:tcPr>
            <w:tcW w:w="671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false</w:t>
            </w:r>
          </w:p>
        </w:tc>
      </w:tr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5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661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The Money Market is a high risk investment.</w:t>
            </w:r>
          </w:p>
        </w:tc>
        <w:tc>
          <w:tcPr>
            <w:tcW w:w="702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true</w:t>
            </w:r>
          </w:p>
        </w:tc>
        <w:tc>
          <w:tcPr>
            <w:tcW w:w="671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false</w:t>
            </w:r>
          </w:p>
        </w:tc>
      </w:tr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6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661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If Sue was 55 years of age she should be invested in a balanced option according to the superannuation life cycle.</w:t>
            </w:r>
          </w:p>
        </w:tc>
        <w:tc>
          <w:tcPr>
            <w:tcW w:w="702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true</w:t>
            </w:r>
          </w:p>
        </w:tc>
        <w:tc>
          <w:tcPr>
            <w:tcW w:w="671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false</w:t>
            </w:r>
          </w:p>
        </w:tc>
      </w:tr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7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661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In relation to the superannuation life cycle, people under the age of 30 years are expected to be invested in conservative investments.</w:t>
            </w:r>
          </w:p>
        </w:tc>
        <w:tc>
          <w:tcPr>
            <w:tcW w:w="702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true</w:t>
            </w:r>
          </w:p>
        </w:tc>
        <w:tc>
          <w:tcPr>
            <w:tcW w:w="671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 w:rsidRPr="006F7C3C">
              <w:rPr>
                <w:szCs w:val="22"/>
              </w:rPr>
              <w:t>false</w:t>
            </w:r>
          </w:p>
        </w:tc>
      </w:tr>
    </w:tbl>
    <w:p w:rsidR="00C857BB" w:rsidRDefault="00C857BB" w:rsidP="00C857BB">
      <w:pPr>
        <w:pStyle w:val="TableText"/>
        <w:spacing w:before="80" w:after="80" w:line="240" w:lineRule="auto"/>
        <w:rPr>
          <w:b/>
          <w:szCs w:val="22"/>
        </w:rPr>
      </w:pPr>
    </w:p>
    <w:p w:rsidR="00C857BB" w:rsidRPr="002E619D" w:rsidRDefault="00C857BB" w:rsidP="00C857BB">
      <w:pPr>
        <w:pStyle w:val="TableText"/>
        <w:spacing w:before="80" w:after="80" w:line="240" w:lineRule="auto"/>
        <w:rPr>
          <w:b/>
          <w:szCs w:val="22"/>
        </w:rPr>
      </w:pPr>
      <w:r w:rsidRPr="002E619D">
        <w:rPr>
          <w:b/>
          <w:szCs w:val="22"/>
        </w:rPr>
        <w:t xml:space="preserve">Part B:  Multiple </w:t>
      </w:r>
      <w:proofErr w:type="gramStart"/>
      <w:r w:rsidRPr="002E619D">
        <w:rPr>
          <w:b/>
          <w:szCs w:val="22"/>
        </w:rPr>
        <w:t>Choice</w:t>
      </w:r>
      <w:proofErr w:type="gramEnd"/>
    </w:p>
    <w:p w:rsidR="00C857BB" w:rsidRPr="002E619D" w:rsidRDefault="00C857BB" w:rsidP="00C857BB">
      <w:pPr>
        <w:pStyle w:val="TableText"/>
        <w:spacing w:before="80" w:after="80" w:line="240" w:lineRule="auto"/>
        <w:rPr>
          <w:i/>
          <w:szCs w:val="22"/>
        </w:rPr>
      </w:pPr>
      <w:r w:rsidRPr="002E619D">
        <w:rPr>
          <w:b/>
          <w:i/>
          <w:szCs w:val="22"/>
        </w:rPr>
        <w:t xml:space="preserve">Instructions: </w:t>
      </w:r>
      <w:r w:rsidRPr="002E619D">
        <w:rPr>
          <w:i/>
          <w:szCs w:val="22"/>
        </w:rPr>
        <w:br/>
        <w:t>Circle letters A, B, C or D below each statement to indicate the correct response (1 point each)</w:t>
      </w:r>
      <w:r>
        <w:rPr>
          <w:i/>
          <w:szCs w:val="22"/>
        </w:rPr>
        <w:t xml:space="preserve"> there can be more than one correct answer.</w:t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67"/>
        <w:gridCol w:w="7990"/>
      </w:tblGrid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8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7990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Which of the following organisations regulate superannuation?</w:t>
            </w:r>
          </w:p>
          <w:p w:rsidR="00C857BB" w:rsidRPr="002E619D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A</w:t>
            </w:r>
            <w:r w:rsidRPr="002E619D">
              <w:tab/>
            </w:r>
            <w:r>
              <w:t xml:space="preserve">ATO </w:t>
            </w:r>
          </w:p>
          <w:p w:rsidR="00C857BB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B</w:t>
            </w:r>
            <w:r w:rsidRPr="002E619D">
              <w:tab/>
            </w:r>
            <w:r w:rsidRPr="00E15953">
              <w:t xml:space="preserve">Superannuation </w:t>
            </w:r>
            <w:r>
              <w:t>Board of Trustee’s</w:t>
            </w:r>
          </w:p>
          <w:p w:rsidR="00C857BB" w:rsidRPr="002E619D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C</w:t>
            </w:r>
            <w:r w:rsidRPr="002E619D">
              <w:tab/>
            </w:r>
            <w:r>
              <w:t>AMP</w:t>
            </w:r>
          </w:p>
          <w:p w:rsidR="00C857BB" w:rsidRPr="002E619D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D</w:t>
            </w:r>
            <w:r w:rsidRPr="002E619D">
              <w:tab/>
            </w:r>
            <w:r>
              <w:t>APRA</w:t>
            </w:r>
          </w:p>
        </w:tc>
      </w:tr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9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7990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Which of the following investment types is Conservative?</w:t>
            </w:r>
          </w:p>
          <w:p w:rsidR="00C857BB" w:rsidRPr="002E619D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A</w:t>
            </w:r>
            <w:r w:rsidRPr="002E619D">
              <w:tab/>
            </w:r>
            <w:r>
              <w:t xml:space="preserve">Government Bonds </w:t>
            </w:r>
          </w:p>
          <w:p w:rsidR="00C857BB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B</w:t>
            </w:r>
            <w:r w:rsidRPr="002E619D">
              <w:tab/>
            </w:r>
            <w:r>
              <w:t>International shares</w:t>
            </w:r>
          </w:p>
          <w:p w:rsidR="00C857BB" w:rsidRPr="002E619D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C</w:t>
            </w:r>
            <w:r w:rsidRPr="002E619D">
              <w:tab/>
            </w:r>
            <w:r>
              <w:t>Listed Property</w:t>
            </w:r>
          </w:p>
          <w:p w:rsidR="00C857BB" w:rsidRPr="002E619D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D</w:t>
            </w:r>
            <w:r w:rsidRPr="002E619D">
              <w:tab/>
            </w:r>
            <w:r>
              <w:t>Money Market</w:t>
            </w:r>
          </w:p>
        </w:tc>
      </w:tr>
      <w:tr w:rsidR="00C857BB" w:rsidRPr="002E619D" w:rsidTr="00D76B8D">
        <w:tc>
          <w:tcPr>
            <w:tcW w:w="424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lastRenderedPageBreak/>
              <w:t>10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7990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Which of the following Governing bodies of superannuation enforce the SIS legislation?</w:t>
            </w:r>
          </w:p>
          <w:p w:rsidR="00C857BB" w:rsidRPr="002E619D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A</w:t>
            </w:r>
            <w:r w:rsidRPr="002E619D">
              <w:tab/>
            </w:r>
            <w:r>
              <w:t xml:space="preserve">ATO </w:t>
            </w:r>
          </w:p>
          <w:p w:rsidR="00C857BB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B</w:t>
            </w:r>
            <w:r w:rsidRPr="002E619D">
              <w:tab/>
            </w:r>
            <w:r w:rsidRPr="00E15953">
              <w:t>Superannuation</w:t>
            </w:r>
            <w:r>
              <w:t xml:space="preserve"> Complaints Tribunal </w:t>
            </w:r>
          </w:p>
          <w:p w:rsidR="00C857BB" w:rsidRPr="002E619D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C</w:t>
            </w:r>
            <w:r w:rsidRPr="002E619D">
              <w:tab/>
            </w:r>
            <w:r>
              <w:t>AISC</w:t>
            </w:r>
          </w:p>
          <w:p w:rsidR="00C857BB" w:rsidRPr="002E619D" w:rsidRDefault="00C857BB" w:rsidP="00D76B8D">
            <w:pPr>
              <w:pStyle w:val="Tablehangingindent1"/>
              <w:spacing w:before="80" w:after="80" w:line="240" w:lineRule="auto"/>
            </w:pPr>
            <w:r w:rsidRPr="002E619D">
              <w:t>D</w:t>
            </w:r>
            <w:r w:rsidRPr="002E619D">
              <w:tab/>
            </w:r>
            <w:r>
              <w:t>APRA</w:t>
            </w:r>
          </w:p>
        </w:tc>
      </w:tr>
    </w:tbl>
    <w:p w:rsidR="00C857BB" w:rsidRDefault="00C857BB" w:rsidP="00C857BB">
      <w:pPr>
        <w:pStyle w:val="TableText"/>
        <w:spacing w:before="80" w:after="80" w:line="240" w:lineRule="auto"/>
        <w:rPr>
          <w:b/>
          <w:szCs w:val="22"/>
        </w:rPr>
      </w:pPr>
    </w:p>
    <w:p w:rsidR="00C857BB" w:rsidRPr="00B722B2" w:rsidRDefault="00C857BB" w:rsidP="00C857BB">
      <w:pPr>
        <w:pStyle w:val="TableText"/>
        <w:spacing w:before="80" w:after="80" w:line="240" w:lineRule="auto"/>
        <w:rPr>
          <w:b/>
          <w:szCs w:val="22"/>
        </w:rPr>
      </w:pPr>
      <w:r w:rsidRPr="00B722B2">
        <w:rPr>
          <w:b/>
          <w:szCs w:val="22"/>
        </w:rPr>
        <w:t>Part C:  Short answer questions</w:t>
      </w:r>
    </w:p>
    <w:p w:rsidR="00C857BB" w:rsidRPr="002E619D" w:rsidRDefault="00C857BB" w:rsidP="00C857BB">
      <w:pPr>
        <w:pStyle w:val="TableText"/>
        <w:spacing w:before="80" w:after="80" w:line="240" w:lineRule="auto"/>
        <w:rPr>
          <w:i/>
          <w:szCs w:val="22"/>
        </w:rPr>
      </w:pPr>
      <w:r w:rsidRPr="00B722B2">
        <w:rPr>
          <w:b/>
          <w:i/>
          <w:szCs w:val="22"/>
        </w:rPr>
        <w:t>Instructions:</w:t>
      </w:r>
      <w:r w:rsidRPr="002E619D">
        <w:rPr>
          <w:i/>
          <w:szCs w:val="22"/>
        </w:rPr>
        <w:t xml:space="preserve">  Answer the following que</w:t>
      </w:r>
      <w:r>
        <w:rPr>
          <w:i/>
          <w:szCs w:val="22"/>
        </w:rPr>
        <w:t>stion for 2</w:t>
      </w:r>
      <w:r>
        <w:rPr>
          <w:i/>
          <w:szCs w:val="22"/>
        </w:rPr>
        <w:t xml:space="preserve"> points</w:t>
      </w:r>
    </w:p>
    <w:tbl>
      <w:tblPr>
        <w:tblW w:w="861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67"/>
        <w:gridCol w:w="8145"/>
      </w:tblGrid>
      <w:tr w:rsidR="00C857BB" w:rsidRPr="002E619D" w:rsidTr="00D76B8D">
        <w:tc>
          <w:tcPr>
            <w:tcW w:w="426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11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8186" w:type="dxa"/>
          </w:tcPr>
          <w:p w:rsidR="00C857BB" w:rsidRPr="00994BFC" w:rsidRDefault="00C857BB" w:rsidP="00D76B8D">
            <w:pPr>
              <w:pStyle w:val="Tabletexthangingindent"/>
              <w:spacing w:before="80" w:after="80"/>
              <w:rPr>
                <w:sz w:val="22"/>
                <w:lang w:eastAsia="en-US"/>
              </w:rPr>
            </w:pPr>
            <w:r w:rsidRPr="00994BFC">
              <w:rPr>
                <w:sz w:val="22"/>
                <w:lang w:eastAsia="en-US"/>
              </w:rPr>
              <w:t>In your own words briefly explain “what is a Government Bond”?</w:t>
            </w:r>
          </w:p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</w:tr>
      <w:tr w:rsidR="00C857BB" w:rsidRPr="002E619D" w:rsidTr="00D76B8D">
        <w:tc>
          <w:tcPr>
            <w:tcW w:w="426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  <w:tc>
          <w:tcPr>
            <w:tcW w:w="8186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</w:tr>
      <w:tr w:rsidR="00C857BB" w:rsidRPr="002E619D" w:rsidTr="00D76B8D">
        <w:tc>
          <w:tcPr>
            <w:tcW w:w="426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  <w:tc>
          <w:tcPr>
            <w:tcW w:w="8186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</w:tr>
    </w:tbl>
    <w:p w:rsidR="00C857BB" w:rsidRDefault="00C857BB" w:rsidP="00C857BB"/>
    <w:tbl>
      <w:tblPr>
        <w:tblW w:w="8612" w:type="dxa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467"/>
        <w:gridCol w:w="8145"/>
      </w:tblGrid>
      <w:tr w:rsidR="00C857BB" w:rsidRPr="006F7C3C" w:rsidTr="00D76B8D">
        <w:tc>
          <w:tcPr>
            <w:tcW w:w="467" w:type="dxa"/>
          </w:tcPr>
          <w:p w:rsidR="00C857BB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12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8145" w:type="dxa"/>
          </w:tcPr>
          <w:p w:rsidR="00C857BB" w:rsidRDefault="00C857BB" w:rsidP="00D76B8D">
            <w:pPr>
              <w:pStyle w:val="Tabletexthangingindent"/>
              <w:spacing w:before="80" w:after="80"/>
              <w:rPr>
                <w:sz w:val="22"/>
                <w:lang w:eastAsia="en-US"/>
              </w:rPr>
            </w:pPr>
          </w:p>
          <w:p w:rsidR="00C857BB" w:rsidRPr="002E5B25" w:rsidRDefault="00C857BB" w:rsidP="00D76B8D">
            <w:pPr>
              <w:pStyle w:val="Tabletexthangingindent"/>
              <w:spacing w:before="80" w:after="8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What is the phone number and website address for the ATO</w:t>
            </w:r>
            <w:r w:rsidRPr="00994BFC">
              <w:rPr>
                <w:sz w:val="22"/>
                <w:lang w:eastAsia="en-US"/>
              </w:rPr>
              <w:t>?</w:t>
            </w:r>
          </w:p>
        </w:tc>
      </w:tr>
      <w:tr w:rsidR="00C857BB" w:rsidRPr="006F7C3C" w:rsidTr="00D76B8D">
        <w:tc>
          <w:tcPr>
            <w:tcW w:w="46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  <w:tc>
          <w:tcPr>
            <w:tcW w:w="8145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</w:tr>
      <w:tr w:rsidR="00C857BB" w:rsidRPr="006F7C3C" w:rsidTr="00D76B8D">
        <w:tc>
          <w:tcPr>
            <w:tcW w:w="46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  <w:tc>
          <w:tcPr>
            <w:tcW w:w="8145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</w:tr>
      <w:tr w:rsidR="00C857BB" w:rsidRPr="006F7C3C" w:rsidTr="00D76B8D">
        <w:tc>
          <w:tcPr>
            <w:tcW w:w="467" w:type="dxa"/>
          </w:tcPr>
          <w:p w:rsidR="00C857BB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  <w:r>
              <w:rPr>
                <w:szCs w:val="22"/>
              </w:rPr>
              <w:t>13</w:t>
            </w:r>
            <w:r w:rsidRPr="006F7C3C">
              <w:rPr>
                <w:szCs w:val="22"/>
              </w:rPr>
              <w:t>.</w:t>
            </w:r>
          </w:p>
        </w:tc>
        <w:tc>
          <w:tcPr>
            <w:tcW w:w="8145" w:type="dxa"/>
          </w:tcPr>
          <w:p w:rsidR="00C857BB" w:rsidRDefault="00C857BB" w:rsidP="00D76B8D">
            <w:pPr>
              <w:pStyle w:val="Tabletexthangingindent"/>
              <w:spacing w:before="80" w:after="80"/>
              <w:rPr>
                <w:sz w:val="22"/>
                <w:lang w:eastAsia="en-US"/>
              </w:rPr>
            </w:pPr>
          </w:p>
          <w:p w:rsidR="00C857BB" w:rsidRPr="002E5B25" w:rsidRDefault="00C857BB" w:rsidP="00D76B8D">
            <w:pPr>
              <w:pStyle w:val="Tabletexthangingindent"/>
              <w:spacing w:before="80" w:after="80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What are Two</w:t>
            </w:r>
            <w:r>
              <w:rPr>
                <w:sz w:val="22"/>
                <w:lang w:eastAsia="en-US"/>
              </w:rPr>
              <w:t xml:space="preserve"> conservative investment options</w:t>
            </w:r>
            <w:r w:rsidRPr="00994BFC">
              <w:rPr>
                <w:sz w:val="22"/>
                <w:lang w:eastAsia="en-US"/>
              </w:rPr>
              <w:t>?</w:t>
            </w:r>
          </w:p>
        </w:tc>
      </w:tr>
      <w:tr w:rsidR="00C857BB" w:rsidRPr="006F7C3C" w:rsidTr="00D76B8D">
        <w:tc>
          <w:tcPr>
            <w:tcW w:w="46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  <w:tc>
          <w:tcPr>
            <w:tcW w:w="8145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</w:tr>
      <w:tr w:rsidR="00C857BB" w:rsidRPr="006F7C3C" w:rsidTr="00D76B8D">
        <w:tc>
          <w:tcPr>
            <w:tcW w:w="467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  <w:tc>
          <w:tcPr>
            <w:tcW w:w="8145" w:type="dxa"/>
          </w:tcPr>
          <w:p w:rsidR="00C857BB" w:rsidRPr="006F7C3C" w:rsidRDefault="00C857BB" w:rsidP="00D76B8D">
            <w:pPr>
              <w:pStyle w:val="TableText"/>
              <w:spacing w:before="80" w:after="80" w:line="240" w:lineRule="auto"/>
              <w:rPr>
                <w:szCs w:val="22"/>
              </w:rPr>
            </w:pPr>
          </w:p>
        </w:tc>
      </w:tr>
    </w:tbl>
    <w:p w:rsidR="00C857BB" w:rsidRDefault="00C857BB" w:rsidP="00C857BB"/>
    <w:p w:rsidR="00C857BB" w:rsidRDefault="00C857BB" w:rsidP="00C857BB"/>
    <w:p w:rsidR="00EB7D14" w:rsidRDefault="00EB7D14" w:rsidP="009D547B">
      <w:pPr>
        <w:pStyle w:val="TableText"/>
        <w:spacing w:before="80" w:after="80" w:line="240" w:lineRule="auto"/>
        <w:rPr>
          <w:b/>
          <w:szCs w:val="22"/>
        </w:rPr>
      </w:pPr>
    </w:p>
    <w:p w:rsidR="00EB7D14" w:rsidRPr="002E619D" w:rsidRDefault="00EB7D14" w:rsidP="009D547B">
      <w:pPr>
        <w:pStyle w:val="TableText"/>
        <w:spacing w:before="80" w:after="80" w:line="240" w:lineRule="auto"/>
        <w:rPr>
          <w:szCs w:val="22"/>
        </w:rPr>
      </w:pPr>
      <w:r w:rsidRPr="00B722B2">
        <w:rPr>
          <w:b/>
          <w:szCs w:val="22"/>
        </w:rPr>
        <w:t>TOTAL SCORE</w:t>
      </w:r>
      <w:r w:rsidRPr="002E619D">
        <w:rPr>
          <w:szCs w:val="22"/>
        </w:rPr>
        <w:t xml:space="preserve">:  ______ out of </w:t>
      </w:r>
      <w:r>
        <w:rPr>
          <w:szCs w:val="22"/>
        </w:rPr>
        <w:t>_______</w:t>
      </w:r>
      <w:r w:rsidRPr="002E619D">
        <w:rPr>
          <w:szCs w:val="22"/>
        </w:rPr>
        <w:t xml:space="preserve"> = _______%</w:t>
      </w:r>
    </w:p>
    <w:p w:rsidR="00EB7D14" w:rsidRPr="009D547B" w:rsidRDefault="00EB7D14" w:rsidP="009D547B">
      <w:pPr>
        <w:pStyle w:val="TableText"/>
        <w:spacing w:before="80" w:after="80" w:line="240" w:lineRule="auto"/>
        <w:ind w:left="2127" w:hanging="2127"/>
        <w:rPr>
          <w:szCs w:val="22"/>
        </w:rPr>
      </w:pPr>
      <w:r w:rsidRPr="00B722B2">
        <w:rPr>
          <w:b/>
          <w:szCs w:val="22"/>
        </w:rPr>
        <w:t>OVERALL RESULT:</w:t>
      </w:r>
      <w:r w:rsidRPr="002E619D">
        <w:rPr>
          <w:szCs w:val="22"/>
        </w:rPr>
        <w:tab/>
      </w:r>
      <w:r w:rsidRPr="002E619D">
        <w:rPr>
          <w:szCs w:val="22"/>
        </w:rPr>
        <w:sym w:font="Wingdings" w:char="F072"/>
      </w:r>
      <w:r>
        <w:rPr>
          <w:szCs w:val="22"/>
        </w:rPr>
        <w:t xml:space="preserve"> Satisfactory (score of _____</w:t>
      </w:r>
      <w:r w:rsidRPr="002E619D">
        <w:rPr>
          <w:szCs w:val="22"/>
        </w:rPr>
        <w:t>% or higher)</w:t>
      </w:r>
      <w:r w:rsidRPr="002E619D">
        <w:rPr>
          <w:szCs w:val="22"/>
        </w:rPr>
        <w:br/>
      </w:r>
      <w:r w:rsidRPr="002E619D">
        <w:rPr>
          <w:szCs w:val="22"/>
        </w:rPr>
        <w:sym w:font="Wingdings" w:char="F072"/>
      </w:r>
      <w:r w:rsidRPr="002E619D">
        <w:rPr>
          <w:szCs w:val="22"/>
        </w:rPr>
        <w:t xml:space="preserve"> Not</w:t>
      </w:r>
      <w:r>
        <w:rPr>
          <w:szCs w:val="22"/>
        </w:rPr>
        <w:t xml:space="preserve"> Yet Satisfactory (score of _____</w:t>
      </w:r>
      <w:r w:rsidRPr="002E619D">
        <w:rPr>
          <w:szCs w:val="22"/>
        </w:rPr>
        <w:t xml:space="preserve">% or lower)     </w:t>
      </w:r>
    </w:p>
    <w:sectPr w:rsidR="00EB7D14" w:rsidRPr="009D547B" w:rsidSect="001222A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D547B"/>
    <w:rsid w:val="0007220C"/>
    <w:rsid w:val="001222AF"/>
    <w:rsid w:val="002E619D"/>
    <w:rsid w:val="0030445F"/>
    <w:rsid w:val="004E6269"/>
    <w:rsid w:val="006F7C3C"/>
    <w:rsid w:val="007400B2"/>
    <w:rsid w:val="008C19B2"/>
    <w:rsid w:val="00994BFC"/>
    <w:rsid w:val="009D547B"/>
    <w:rsid w:val="00AE47DC"/>
    <w:rsid w:val="00B722B2"/>
    <w:rsid w:val="00C857BB"/>
    <w:rsid w:val="00CA25AA"/>
    <w:rsid w:val="00E111D8"/>
    <w:rsid w:val="00E15953"/>
    <w:rsid w:val="00E34722"/>
    <w:rsid w:val="00EB7D14"/>
    <w:rsid w:val="00F36004"/>
    <w:rsid w:val="00FA5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47B"/>
    <w:pPr>
      <w:spacing w:before="120" w:after="120" w:line="264" w:lineRule="auto"/>
    </w:pPr>
    <w:rPr>
      <w:rFonts w:ascii="Century Gothic" w:eastAsia="Times New Roman" w:hAnsi="Century Gothic"/>
      <w:sz w:val="22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547B"/>
    <w:pPr>
      <w:keepNext/>
      <w:pBdr>
        <w:bottom w:val="single" w:sz="6" w:space="1" w:color="auto"/>
      </w:pBdr>
      <w:spacing w:before="0" w:after="480" w:line="240" w:lineRule="auto"/>
      <w:ind w:left="-397"/>
      <w:outlineLvl w:val="1"/>
    </w:pPr>
    <w:rPr>
      <w:rFonts w:ascii="Arial Narrow" w:hAnsi="Arial Narrow" w:cs="Arial"/>
      <w:b/>
      <w:bCs/>
      <w:iCs/>
      <w:sz w:val="4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9D547B"/>
    <w:rPr>
      <w:rFonts w:ascii="Arial Narrow" w:hAnsi="Arial Narrow" w:cs="Arial"/>
      <w:b/>
      <w:bCs/>
      <w:iCs/>
      <w:sz w:val="28"/>
      <w:szCs w:val="28"/>
      <w:lang w:eastAsia="en-AU"/>
    </w:rPr>
  </w:style>
  <w:style w:type="paragraph" w:customStyle="1" w:styleId="Tabletexthangingindent">
    <w:name w:val="Table text hanging indent"/>
    <w:basedOn w:val="Normal"/>
    <w:link w:val="TabletexthangingindentChar"/>
    <w:rsid w:val="009D547B"/>
    <w:pPr>
      <w:spacing w:line="240" w:lineRule="auto"/>
      <w:ind w:left="288" w:hanging="288"/>
    </w:pPr>
    <w:rPr>
      <w:rFonts w:ascii="Arial Narrow" w:hAnsi="Arial Narrow"/>
      <w:sz w:val="20"/>
    </w:rPr>
  </w:style>
  <w:style w:type="paragraph" w:customStyle="1" w:styleId="TableText">
    <w:name w:val="Table Text"/>
    <w:aliases w:val="tt"/>
    <w:basedOn w:val="Normal"/>
    <w:rsid w:val="009D547B"/>
    <w:rPr>
      <w:rFonts w:ascii="Arial Narrow" w:eastAsia="Calibri" w:hAnsi="Arial Narrow"/>
      <w:szCs w:val="20"/>
      <w:lang w:val="en-GB" w:eastAsia="en-US"/>
    </w:rPr>
  </w:style>
  <w:style w:type="paragraph" w:customStyle="1" w:styleId="Tablehangingindent1">
    <w:name w:val="Table hanging indent 1"/>
    <w:basedOn w:val="TableText"/>
    <w:rsid w:val="009D547B"/>
    <w:pPr>
      <w:ind w:left="340" w:hanging="340"/>
    </w:pPr>
  </w:style>
  <w:style w:type="character" w:customStyle="1" w:styleId="TabletexthangingindentChar">
    <w:name w:val="Table text hanging indent Char"/>
    <w:link w:val="Tabletexthangingindent"/>
    <w:locked/>
    <w:rsid w:val="009D547B"/>
    <w:rPr>
      <w:rFonts w:ascii="Arial Narrow" w:hAnsi="Arial Narrow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327</Words>
  <Characters>1865</Characters>
  <Application>Microsoft Office Word</Application>
  <DocSecurity>0</DocSecurity>
  <Lines>15</Lines>
  <Paragraphs>4</Paragraphs>
  <ScaleCrop>false</ScaleCrop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Cassandra Dunning</cp:lastModifiedBy>
  <cp:revision>6</cp:revision>
  <dcterms:created xsi:type="dcterms:W3CDTF">2012-05-20T01:30:00Z</dcterms:created>
  <dcterms:modified xsi:type="dcterms:W3CDTF">2012-05-22T15:15:00Z</dcterms:modified>
</cp:coreProperties>
</file>